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D3" w:rsidRPr="008C6293" w:rsidRDefault="00CC2A01">
      <w:pPr>
        <w:spacing w:line="360" w:lineRule="auto"/>
        <w:ind w:firstLine="426"/>
        <w:jc w:val="center"/>
        <w:rPr>
          <w:b/>
          <w:sz w:val="22"/>
          <w:szCs w:val="22"/>
        </w:rPr>
      </w:pPr>
      <w:r w:rsidRPr="008C6293">
        <w:rPr>
          <w:b/>
          <w:sz w:val="22"/>
          <w:szCs w:val="22"/>
        </w:rPr>
        <w:t>АНОТАЦІЯ</w:t>
      </w:r>
    </w:p>
    <w:p w:rsidR="00331BD3" w:rsidRPr="008C6293" w:rsidRDefault="00CC2A0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8C6293">
        <w:rPr>
          <w:b/>
          <w:sz w:val="22"/>
          <w:szCs w:val="22"/>
        </w:rPr>
        <w:t>Гончар Є. П. Дипломатія в умовах конфлікту. – Рукопис.</w:t>
      </w:r>
    </w:p>
    <w:p w:rsidR="00331BD3" w:rsidRPr="008C6293" w:rsidRDefault="00CC2A01">
      <w:pPr>
        <w:pStyle w:val="1"/>
        <w:numPr>
          <w:ilvl w:val="0"/>
          <w:numId w:val="0"/>
        </w:numPr>
        <w:tabs>
          <w:tab w:val="clear" w:pos="720"/>
        </w:tabs>
        <w:spacing w:line="360" w:lineRule="auto"/>
        <w:ind w:left="283" w:firstLine="426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C6293">
        <w:rPr>
          <w:rFonts w:ascii="Times New Roman" w:hAnsi="Times New Roman"/>
          <w:b/>
          <w:color w:val="000000" w:themeColor="text1"/>
          <w:sz w:val="22"/>
          <w:szCs w:val="22"/>
        </w:rPr>
        <w:t xml:space="preserve">Магістерська дисертація зі спеціальності </w:t>
      </w:r>
      <w:r w:rsidRPr="008C6293">
        <w:rPr>
          <w:rFonts w:ascii="Times New Roman" w:hAnsi="Times New Roman"/>
          <w:b/>
          <w:color w:val="000000" w:themeColor="text1"/>
          <w:spacing w:val="-5"/>
          <w:sz w:val="22"/>
          <w:szCs w:val="22"/>
        </w:rPr>
        <w:t>054 «</w:t>
      </w:r>
      <w:r w:rsidRPr="008C6293">
        <w:rPr>
          <w:rFonts w:ascii="Times New Roman" w:hAnsi="Times New Roman"/>
          <w:b/>
          <w:sz w:val="22"/>
          <w:szCs w:val="22"/>
        </w:rPr>
        <w:t>Соціологія»</w:t>
      </w:r>
      <w:r w:rsidRPr="008C6293">
        <w:rPr>
          <w:rFonts w:ascii="Times New Roman" w:hAnsi="Times New Roman"/>
          <w:b/>
          <w:color w:val="000000" w:themeColor="text1"/>
          <w:sz w:val="22"/>
          <w:szCs w:val="22"/>
        </w:rPr>
        <w:t>. – НТУУ «КПІ ім. Ігоря Сікорського», кафедра соціології. – Київ, 2018. – 85 с., список джерел з 71 найменувань.</w:t>
      </w:r>
    </w:p>
    <w:p w:rsidR="00331BD3" w:rsidRPr="008C6293" w:rsidRDefault="00CC2A01">
      <w:pPr>
        <w:pStyle w:val="a3"/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C6293">
        <w:rPr>
          <w:rFonts w:ascii="Times New Roman" w:hAnsi="Times New Roman"/>
          <w:color w:val="000000" w:themeColor="text1"/>
          <w:sz w:val="22"/>
          <w:szCs w:val="22"/>
        </w:rPr>
        <w:t>У роботі р</w:t>
      </w:r>
      <w:r w:rsidRPr="008C6293">
        <w:rPr>
          <w:rFonts w:ascii="Times New Roman" w:hAnsi="Times New Roman"/>
          <w:sz w:val="22"/>
          <w:szCs w:val="22"/>
        </w:rPr>
        <w:t xml:space="preserve">озкрито роль дипломатії у конфліктних умовах. Висвітлено теоретичні засади дипломатії як специфічного виду діяльності. Окреслено базові підходи до визначення </w:t>
      </w:r>
      <w:r w:rsidRPr="008C6293">
        <w:rPr>
          <w:rFonts w:ascii="Times New Roman" w:hAnsi="Times New Roman"/>
          <w:color w:val="000000" w:themeColor="text1"/>
          <w:sz w:val="22"/>
          <w:szCs w:val="22"/>
        </w:rPr>
        <w:t>«конфлікту» як соціально-політичного протиріччя.</w:t>
      </w:r>
    </w:p>
    <w:p w:rsidR="00331BD3" w:rsidRPr="008C6293" w:rsidRDefault="00CC2A01">
      <w:pPr>
        <w:pStyle w:val="a3"/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C6293">
        <w:rPr>
          <w:rFonts w:ascii="Times New Roman" w:hAnsi="Times New Roman"/>
          <w:sz w:val="22"/>
          <w:szCs w:val="22"/>
        </w:rPr>
        <w:t>Зроблено періодизацію розвитку дипломатії, зокрема, шляху її еволюції з моменту завершення Другої світової війни і до сьогодення. Висвітлено найбільш ефективні практики дипломатичної роботи в умовах конфлікту. Розглянуто експертну дипломатію як інструмент зовнішньої політики України у 2018 році.</w:t>
      </w:r>
    </w:p>
    <w:p w:rsidR="00331BD3" w:rsidRPr="008C6293" w:rsidRDefault="00CC2A01">
      <w:pPr>
        <w:pStyle w:val="a3"/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8C6293">
        <w:rPr>
          <w:rFonts w:ascii="Times New Roman" w:hAnsi="Times New Roman"/>
          <w:sz w:val="22"/>
          <w:szCs w:val="22"/>
        </w:rPr>
        <w:t>Представлено програму і результати дослідження щодо оцінки кспертної дипломатії, як одного із ефективних чинників врегулювання конфліктної ситуації, а також зовнішньополітичньої ситуації в Україні, що склалась у 2018 році.</w:t>
      </w:r>
    </w:p>
    <w:p w:rsidR="00331BD3" w:rsidRPr="008C6293" w:rsidRDefault="00CC2A01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 w:rsidRPr="008C6293">
        <w:rPr>
          <w:b/>
          <w:color w:val="000000" w:themeColor="text1"/>
          <w:sz w:val="22"/>
          <w:szCs w:val="22"/>
        </w:rPr>
        <w:t>Ключові слова:</w:t>
      </w:r>
      <w:r w:rsidRPr="008C6293">
        <w:rPr>
          <w:color w:val="000000" w:themeColor="text1"/>
          <w:sz w:val="22"/>
          <w:szCs w:val="22"/>
        </w:rPr>
        <w:t xml:space="preserve"> конфлікт, дипломатія, зовнішня політика, міжнародні відносини, експертна дипломатія.</w:t>
      </w:r>
    </w:p>
    <w:p w:rsidR="00331BD3" w:rsidRPr="008C6293" w:rsidRDefault="00331BD3">
      <w:pPr>
        <w:rPr>
          <w:sz w:val="22"/>
          <w:szCs w:val="22"/>
        </w:rPr>
      </w:pPr>
    </w:p>
    <w:p w:rsidR="00331BD3" w:rsidRPr="008C6293" w:rsidRDefault="00331BD3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331BD3" w:rsidRPr="008C6293" w:rsidRDefault="00331BD3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331BD3" w:rsidRPr="008C6293" w:rsidRDefault="00331BD3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8C6293" w:rsidRPr="008C6293" w:rsidRDefault="008C6293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331BD3" w:rsidRPr="008C6293" w:rsidRDefault="00A042D9">
      <w:pPr>
        <w:spacing w:line="360" w:lineRule="auto"/>
        <w:ind w:firstLine="426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ABSTRACT</w:t>
      </w:r>
    </w:p>
    <w:p w:rsidR="00331BD3" w:rsidRPr="008C6293" w:rsidRDefault="00CC2A01">
      <w:pPr>
        <w:spacing w:line="360" w:lineRule="auto"/>
        <w:ind w:firstLine="426"/>
        <w:jc w:val="both"/>
        <w:rPr>
          <w:b/>
          <w:sz w:val="22"/>
          <w:szCs w:val="22"/>
          <w:lang w:val="en-US"/>
        </w:rPr>
      </w:pPr>
      <w:r w:rsidRPr="008C6293">
        <w:rPr>
          <w:b/>
          <w:sz w:val="22"/>
          <w:szCs w:val="22"/>
          <w:lang w:val="en-US"/>
        </w:rPr>
        <w:t xml:space="preserve">Gonchar Y. P. Diplomacy </w:t>
      </w:r>
      <w:r w:rsidR="00A042D9">
        <w:rPr>
          <w:b/>
          <w:sz w:val="22"/>
          <w:szCs w:val="22"/>
          <w:lang w:val="en-US"/>
        </w:rPr>
        <w:t xml:space="preserve">under conditions </w:t>
      </w:r>
      <w:bookmarkStart w:id="0" w:name="_GoBack"/>
      <w:bookmarkEnd w:id="0"/>
      <w:r w:rsidRPr="008C6293">
        <w:rPr>
          <w:b/>
          <w:sz w:val="22"/>
          <w:szCs w:val="22"/>
          <w:lang w:val="en-US"/>
        </w:rPr>
        <w:t>in conflict. - Manuscript.</w:t>
      </w:r>
    </w:p>
    <w:p w:rsidR="00331BD3" w:rsidRPr="008C6293" w:rsidRDefault="00CC2A01">
      <w:pPr>
        <w:pStyle w:val="10"/>
        <w:shd w:val="clear" w:color="000000" w:fill="FFFFFF"/>
        <w:spacing w:line="360" w:lineRule="auto"/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  <w:r w:rsidRPr="008C6293">
        <w:rPr>
          <w:rFonts w:ascii="Times New Roman" w:hAnsi="Times New Roman"/>
          <w:sz w:val="22"/>
          <w:szCs w:val="22"/>
          <w:lang w:val="en-US"/>
        </w:rPr>
        <w:t xml:space="preserve">Master's thesis on specialty 054 «Sociology». - NTUU «Igor Sikorsky Kyiv Polytechnic Institute», Department of Sociology. - Kyiv, 2018. - 85 p., 71 sources. </w:t>
      </w:r>
    </w:p>
    <w:p w:rsidR="00331BD3" w:rsidRPr="008C6293" w:rsidRDefault="008C6293" w:rsidP="008C6293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6A438E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The master's </w:t>
      </w:r>
      <w:r w:rsidR="002E318A">
        <w:rPr>
          <w:rFonts w:ascii="Times New Roman" w:hAnsi="Times New Roman"/>
          <w:color w:val="000000" w:themeColor="text1"/>
          <w:sz w:val="22"/>
          <w:szCs w:val="22"/>
          <w:lang w:val="en-GB"/>
        </w:rPr>
        <w:t>thesis</w:t>
      </w:r>
      <w:r w:rsidR="002E318A" w:rsidRPr="006A438E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 w:rsidRPr="006A438E">
        <w:rPr>
          <w:rFonts w:ascii="Times New Roman" w:hAnsi="Times New Roman"/>
          <w:color w:val="000000" w:themeColor="text1"/>
          <w:sz w:val="22"/>
          <w:szCs w:val="22"/>
          <w:lang w:val="en-US"/>
        </w:rPr>
        <w:t>reveals the role of diplomacy in conflict situations. The theoretical principles of diplomacy as a specific kind of activity are highlighted. The basic approaches to the definition of "conflict" as a socio-political contradiction are outlined.</w:t>
      </w:r>
    </w:p>
    <w:p w:rsidR="008C6293" w:rsidRPr="008C6293" w:rsidRDefault="008C6293" w:rsidP="008C6293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periodization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development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diplomacy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particular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way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its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evolution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since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end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Second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World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War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and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up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to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now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has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been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made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most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effective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practices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diplomatic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work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conditions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conflict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are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highlighted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 </w:t>
      </w:r>
      <w:r w:rsidR="002E318A">
        <w:rPr>
          <w:rFonts w:ascii="Times New Roman" w:hAnsi="Times New Roman"/>
          <w:color w:val="000000" w:themeColor="text1"/>
          <w:sz w:val="22"/>
          <w:szCs w:val="22"/>
          <w:lang w:val="en-GB"/>
        </w:rPr>
        <w:t>The</w:t>
      </w:r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expert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diplomacy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instrument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Ukraine's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foreign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policy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2018</w:t>
      </w:r>
      <w:r w:rsidR="002E318A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 is considered</w:t>
      </w:r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.</w:t>
      </w:r>
    </w:p>
    <w:p w:rsidR="008C6293" w:rsidRPr="008C6293" w:rsidRDefault="008C6293" w:rsidP="008C6293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program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and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results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study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evaluation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r w:rsidR="00D729C3">
        <w:rPr>
          <w:rFonts w:ascii="Times New Roman" w:hAnsi="Times New Roman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expert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diplomacy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one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effective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factors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settlement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a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conflict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situation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well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as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foreign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policy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situation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Ukraine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established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in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2018,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are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presented</w:t>
      </w:r>
      <w:proofErr w:type="spellEnd"/>
      <w:r w:rsidRPr="008C6293">
        <w:rPr>
          <w:rFonts w:ascii="Times New Roman" w:hAnsi="Times New Roman"/>
          <w:color w:val="000000" w:themeColor="text1"/>
          <w:sz w:val="22"/>
          <w:szCs w:val="22"/>
          <w:lang w:val="uk-UA"/>
        </w:rPr>
        <w:t>.</w:t>
      </w:r>
    </w:p>
    <w:p w:rsidR="008C6293" w:rsidRPr="008C6293" w:rsidRDefault="008C6293" w:rsidP="008C6293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</w:p>
    <w:p w:rsidR="00331BD3" w:rsidRPr="008C6293" w:rsidRDefault="00CC2A01">
      <w:pPr>
        <w:spacing w:line="360" w:lineRule="auto"/>
        <w:ind w:firstLine="426"/>
        <w:jc w:val="both"/>
        <w:rPr>
          <w:sz w:val="22"/>
          <w:szCs w:val="22"/>
          <w:lang w:val="en-US"/>
        </w:rPr>
      </w:pPr>
      <w:r w:rsidRPr="008C6293">
        <w:rPr>
          <w:b/>
          <w:sz w:val="22"/>
          <w:szCs w:val="22"/>
          <w:lang w:val="en-US"/>
        </w:rPr>
        <w:t>Key words:</w:t>
      </w:r>
      <w:r w:rsidRPr="008C6293">
        <w:rPr>
          <w:sz w:val="22"/>
          <w:szCs w:val="22"/>
          <w:lang w:val="en-US"/>
        </w:rPr>
        <w:t xml:space="preserve"> </w:t>
      </w:r>
      <w:r w:rsidR="008C6293" w:rsidRPr="008C6293">
        <w:rPr>
          <w:sz w:val="22"/>
          <w:szCs w:val="22"/>
          <w:lang w:val="en-US"/>
        </w:rPr>
        <w:t>conflict, diplomacy, foreign policy, international relations, expert diplomacy.</w:t>
      </w:r>
    </w:p>
    <w:p w:rsidR="00331BD3" w:rsidRPr="008C6293" w:rsidRDefault="00331BD3">
      <w:pPr>
        <w:rPr>
          <w:sz w:val="22"/>
          <w:szCs w:val="22"/>
          <w:lang w:val="en-US"/>
        </w:rPr>
      </w:pPr>
    </w:p>
    <w:sectPr w:rsidR="00331BD3" w:rsidRPr="008C6293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A8254F"/>
    <w:lvl w:ilvl="0" w:tplc="81C257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3D7645A8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4A006C">
      <w:start w:val="1"/>
      <w:numFmt w:val="bullet"/>
      <w:lvlText w:val="§"/>
      <w:lvlJc w:val="left"/>
      <w:pPr>
        <w:ind w:left="222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C70725C">
      <w:start w:val="1"/>
      <w:numFmt w:val="bullet"/>
      <w:lvlText w:val="·"/>
      <w:lvlJc w:val="left"/>
      <w:pPr>
        <w:ind w:left="29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422D8C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FD48E2C">
      <w:start w:val="1"/>
      <w:numFmt w:val="bullet"/>
      <w:lvlText w:val="§"/>
      <w:lvlJc w:val="left"/>
      <w:pPr>
        <w:ind w:left="43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254BCF8">
      <w:start w:val="1"/>
      <w:numFmt w:val="bullet"/>
      <w:lvlText w:val="·"/>
      <w:lvlJc w:val="left"/>
      <w:pPr>
        <w:ind w:left="510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0DAFED4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5E91B8">
      <w:start w:val="1"/>
      <w:numFmt w:val="bullet"/>
      <w:lvlText w:val="§"/>
      <w:lvlJc w:val="left"/>
      <w:pPr>
        <w:ind w:left="654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4A7A6474"/>
    <w:multiLevelType w:val="hybridMultilevel"/>
    <w:tmpl w:val="4C468CEA"/>
    <w:lvl w:ilvl="0" w:tplc="11C2B52C">
      <w:start w:val="2"/>
      <w:numFmt w:val="bullet"/>
      <w:pStyle w:val="1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F24E62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18972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F2EED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11A1B1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D70491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0B8D67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DA8BB7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0B66B7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BD3"/>
    <w:rsid w:val="002E318A"/>
    <w:rsid w:val="00331BD3"/>
    <w:rsid w:val="006A438E"/>
    <w:rsid w:val="008C6293"/>
    <w:rsid w:val="00A042D9"/>
    <w:rsid w:val="00CC2A01"/>
    <w:rsid w:val="00D729C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1F35D"/>
  <w15:docId w15:val="{21EF10D7-A707-45CF-B379-C3A4E64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link w:val="11"/>
    <w:uiPriority w:val="7"/>
    <w:qFormat/>
    <w:pPr>
      <w:outlineLvl w:val="0"/>
    </w:pPr>
    <w:rPr>
      <w:rFonts w:ascii="NanumGothic" w:hAnsi="NanumGothic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paragraph" w:styleId="a3">
    <w:name w:val="Body Text"/>
    <w:basedOn w:val="a"/>
    <w:link w:val="a4"/>
    <w:qFormat/>
    <w:rPr>
      <w:rFonts w:ascii="NanumGothic" w:hAnsi="NanumGothic"/>
      <w:sz w:val="28"/>
      <w:szCs w:val="28"/>
    </w:rPr>
  </w:style>
  <w:style w:type="character" w:customStyle="1" w:styleId="a4">
    <w:name w:val="Основний текст Знак"/>
    <w:basedOn w:val="a0"/>
    <w:link w:val="a3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customStyle="1" w:styleId="1">
    <w:name w:val="Маркер 1"/>
    <w:pPr>
      <w:numPr>
        <w:numId w:val="1"/>
      </w:numPr>
      <w:tabs>
        <w:tab w:val="left" w:pos="360"/>
      </w:tabs>
      <w:ind w:left="283" w:firstLine="0"/>
      <w:jc w:val="both"/>
    </w:pPr>
    <w:rPr>
      <w:rFonts w:ascii="NanumGothic" w:eastAsia="Times New Roman" w:hAnsi="NanumGothic"/>
      <w:sz w:val="26"/>
      <w:szCs w:val="26"/>
    </w:rPr>
  </w:style>
  <w:style w:type="paragraph" w:styleId="2">
    <w:name w:val="Body Text Indent 2"/>
    <w:basedOn w:val="a"/>
    <w:link w:val="20"/>
    <w:semiHidden/>
    <w:unhideWhenUsed/>
    <w:pPr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2E318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31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Гончар</dc:creator>
  <cp:lastModifiedBy>Евгений Гончар</cp:lastModifiedBy>
  <cp:revision>3</cp:revision>
  <dcterms:created xsi:type="dcterms:W3CDTF">2018-12-19T08:57:00Z</dcterms:created>
  <dcterms:modified xsi:type="dcterms:W3CDTF">2018-12-20T18:51:00Z</dcterms:modified>
</cp:coreProperties>
</file>